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Tumblers Gymnastics Centre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Accessibility Standards for Customer Service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Providing Goods and Services to People with Disabilities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single"/>
          <w:shd w:fill="auto" w:val="clear"/>
          <w:vertAlign w:val="baseline"/>
          <w:rtl w:val="0"/>
        </w:rPr>
        <w:t xml:space="preserve">Preamble: The Association does not own its facility itself, but only rents space within facilities which are AODA compliant.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following terms have these meanings in this Policy: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“Association”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Tumblers Gymnastics Centre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“Directors” - Operations Director, Technical Director and/or Executive Director of the Tumblers Gymnastics Centre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The purpose of this policy is to fulfill the requirements set out in Ontario Regulation 420/07 of the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Accessibility for Ontarians with Disabilities Act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2005, to establish a policy for the Association for governing the provision of its goods and services to persons with disabilities.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Scope and Application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This Policy shall apply to every person who deals with members of the public or other third parties on behalf of the Association whether the person does so as an employee, agent, volunteer or otherwise. Failure to comply with this Policy may result in disciplinary action up to and including termination.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Commitment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 The Association is committed to excellence in serving all customers/members including people with disabilities. As such, the Association will use reasonable efforts to ensure that its policies, practices and procedures are consistent with the following principles: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The goods or services will be provided in a manner that respects the dignity and independence of persons with disabilities.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The provision of goods or services to persons with disabilities, and others, will be integrated unless an alternate measure is necessary, whether temporarily or on a permanent basis, to enable a person with a disability to obtain, use or benefit from the goods or services.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Persons with disabilities will be given an opportunity equal to that given to others to obtain, use and benefit from the goods or services.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Persons with disabilities may use personal assistive devices and/or support persons in the access of goods and services.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When communicating with a person with a disability, employees, volunteers and contractors shall do so in a manner that takes into account the person’s disability.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 The following terms have these meanings in this policy: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“Assistive Devices”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 auxiliary aid such as communication aids, cognition aids, personal mobility aids and medical aids (i.e.: canes, crutches, wheelchairs, or hearing aids).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“Disabilities”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As per the Ontario Human Rights Code, disability means: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1755"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impairment, deafness or hearing impediment, muteness or speech impediment, or physical reliance on a guide dog or other animal or on a wheelchair or other remedial appliance or device;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 A condition of mental impairment or a developmental disability;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iii) A learning disability or a dysfunction in one or more of the processes involved in understanding or using symbols or spoken language;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iv) A mental disorder; 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 An injury or disability for which benefits were claimed or received under the insurance plan established under the Workplace Safe and Insurance Act, 1997; (“handicap”)</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“Employees”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Every person who deals with members of the public or other third parties on behalf of the Association, whether the person does so as an employee, agent, volunteer or otherwise.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“Persons with Disabilities”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Individuals who are afflicted with a disability as defined under the Ontario Human Rights Code (noted above).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“Service Animals”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Any animal individually trained to do work or perform tasks for the benefit of a person with a disability.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“Support Persons”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Any person whether a paid professional, volunteer, family member, or friend who accompanies a person with a disability in order to help with communications, personal care or medical needs, or with access to goods or services.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Practices and Procedures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 To implement this Policy, the Association shall establish, evaluate and revise the practices and procedures noted below, as required on providing goods and/or services to persons with disabilities, while following these four core principles: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Dignity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Independence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Integration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 Equal Opportunity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Assistive Devices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 The Association will ensure that staff is trained and familiar with various assistive devices that may be used by customers/members with disabilities while accessing our goods or services. Every employee shall use reasonable efforts to allow persons with disabilities to use their own assistive devices to access goods and/or services.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8. The Association currently provides the following types of assistive devices at its facility: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Written documents/policies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Communication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9. The Association will offer a variety of methods of communication and interact with people with disabilities in ways that take into account their disability.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Service Animals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10. Service animals offer independence and security to many people with various disabilities. The Association welcomes people with disabilities and their service animals on the parts of our premises that are open to the public.</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11. Examples of service animals include: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Dogs used by people who are blind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Hearing alert animals for people who are deaf, deafened or hard of hearing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Animals trained to alert an individual to an oncoming seizure and lead them to safety.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12. Every employee shall allow persons with disabilities to be accompanied by their guide dog or service animal unless the animal is excluded by law. Where an animal is excluded by law from the premises, the reason why the animal is excluded shall be explained to the persons with disabilities. Other reasonable arrangements to provide goods and services shall be explored with the assistance of the person with the disability.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13. When a service animal is unruly or disruptive (jumping on people, biting, or other harmful behavior) an employee may ask the person with a disability to remove the animal from the area or refuse access to goods and services. Other reasonable arrangements to provide goods and services shall be explored with the assistance of the person with a disability.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Support Persons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14. Support people assist people with disabilities in a variety of way, by assisting with communication such as an intervener sign language interpreter, or as a Personal Support Worker providing physical assistance. A support person may be a volunteer, friend, or relative who will assist and support the customer/member.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 Persons with disabilities may be accompanied by their support person while accessing goods and/or services. Support persons are non-participants who are allowed free admission to the goods and/or services being accessed by the person with a disability they are accompanying.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Notice of Temporary Disruption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16. In the event of a planned or unexpected disruption to services or facilities for customers/members with disabilities such as an entrance way that is under repair, renovations that limit access to an area, or technology that is temporarily unavailable, the Association will notify customers/members promptly. This clearly posted notice will include information about the reason for the disruption, its anticipated length of time, and a description of alternative facilities or services, if available.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17. The notice will be placed at the entrance of the facility.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Training for Staff</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18. The Association will provide training to employees, volunteers and others who deal with the public or other third parties on their behalf. Every provider of goods and services shall receive training on the following:</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overview of the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Accessibility for Ontarians with Disabilities Act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2005 and the requirements of the customer service standard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 The Association’ Accessibility Standards for Customer Service Policy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 How to interact and communicate with people with various types of disabilities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19. Current employees, agents, volunteers, management, etc. shall receive training when required. New employees, agents, volunteers, management, etc. shall receive training as soon as “practicable” after </w:t>
      </w:r>
      <w:r w:rsidDel="00000000" w:rsidR="00000000" w:rsidRPr="00000000">
        <w:rPr>
          <w:rFonts w:ascii="Helvetica Neue" w:cs="Helvetica Neue" w:eastAsia="Helvetica Neue" w:hAnsi="Helvetica Neue"/>
          <w:sz w:val="22"/>
          <w:szCs w:val="22"/>
          <w:rtl w:val="0"/>
        </w:rPr>
        <w:t xml:space="preserve">being</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assigned their role. Ongoing training to changes of policies, procedures and new equipment shall be provided.</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20. Training records shall be kept, including the dates when the training is provided, content of training and the number of individuals to whom the training was provided.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Feedback Process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21. Anyone who wishes to provide feedback on the way the Association provides goods and services to people with disabilities can email the Association at frontdesk@tumblers.ca . All feedback will be directed to the Directors. Customers/members can expect to hear back in thirty (30) days. Complaints will be addressed according to our organization’s regular complaint management procedures.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Provision of Documentation</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22. The Association shall upon request, give a copy of the policies, practices and procedures required under the Ontario Regulation 429/07 – Accessibility Standards for Customer Service Policy to any person, in a format agreed upon by the parties.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Review and Amendments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23. Review and amendments shall take place annually at the Annual General Meeting. Any Association policy that does not respect and promote the dignity and independence of people with disabilities will be modified or removed.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NOTICE – ADMISSION FEES FOR SUPPORT PERSONS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In accordance with the Association’s Accessibility Standards for Customer Service Policy, support persons accompanying persons with disabilities are allowed access to our facilities.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“Support Person”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shall mean any person whether a paid professional, volunteer, family member, friend who accompanies a person with a disability in order to help with communications, personal care or medical needs or with access to goods or services.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“Persons with Disabilities”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shall mean those individuals that have a disability defined under the Ontario Human Rights Code, as follows: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impairment, deafness or hearing impediment, muteness or speech impediment, or physical reliance on a guide dog or other animal or on a wheelchair or other remedial appliance or device;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condition of mental impairment or a developmental disability;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learning disability or a dysfunction in one or more of the processes involved in understanding or using symbols or spoken language;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mental disorder; or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 injury or disability for which benefits were claimed or received under the insurance plan established under the Workplace Safe and Insurance Act, 1997; (“handicap”).</w:t>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lowerLetter"/>
      <w:lvlText w:val="%3)"/>
      <w:lvlJc w:val="left"/>
      <w:pPr>
        <w:ind w:left="1080" w:hanging="360"/>
      </w:pPr>
      <w:rPr>
        <w:smallCaps w:val="0"/>
        <w:strike w:val="0"/>
        <w:shd w:fill="auto" w:val="clear"/>
        <w:vertAlign w:val="baseline"/>
      </w:rPr>
    </w:lvl>
    <w:lvl w:ilvl="3">
      <w:start w:val="1"/>
      <w:numFmt w:val="lowerLetter"/>
      <w:lvlText w:val="%4)"/>
      <w:lvlJc w:val="left"/>
      <w:pPr>
        <w:ind w:left="1440" w:hanging="360"/>
      </w:pPr>
      <w:rPr>
        <w:smallCaps w:val="0"/>
        <w:strike w:val="0"/>
        <w:shd w:fill="auto" w:val="clear"/>
        <w:vertAlign w:val="baseline"/>
      </w:rPr>
    </w:lvl>
    <w:lvl w:ilvl="4">
      <w:start w:val="1"/>
      <w:numFmt w:val="lowerRoman"/>
      <w:lvlText w:val="%5)"/>
      <w:lvlJc w:val="left"/>
      <w:pPr>
        <w:ind w:left="1755" w:hanging="360"/>
      </w:pPr>
      <w:rPr>
        <w:smallCaps w:val="0"/>
        <w:strike w:val="0"/>
        <w:shd w:fill="auto" w:val="clear"/>
        <w:vertAlign w:val="baseline"/>
      </w:rPr>
    </w:lvl>
    <w:lvl w:ilvl="5">
      <w:start w:val="1"/>
      <w:numFmt w:val="lowerRoman"/>
      <w:lvlText w:val="%6)"/>
      <w:lvlJc w:val="left"/>
      <w:pPr>
        <w:ind w:left="2160" w:hanging="360"/>
      </w:pPr>
      <w:rPr>
        <w:smallCaps w:val="0"/>
        <w:strike w:val="0"/>
        <w:shd w:fill="auto" w:val="clear"/>
        <w:vertAlign w:val="baseline"/>
      </w:rPr>
    </w:lvl>
    <w:lvl w:ilvl="6">
      <w:start w:val="1"/>
      <w:numFmt w:val="lowerRoman"/>
      <w:lvlText w:val="%7)"/>
      <w:lvlJc w:val="left"/>
      <w:pPr>
        <w:ind w:left="2520" w:hanging="360"/>
      </w:pPr>
      <w:rPr>
        <w:smallCaps w:val="0"/>
        <w:strike w:val="0"/>
        <w:shd w:fill="auto" w:val="clear"/>
        <w:vertAlign w:val="baseline"/>
      </w:rPr>
    </w:lvl>
    <w:lvl w:ilvl="7">
      <w:start w:val="1"/>
      <w:numFmt w:val="lowerRoman"/>
      <w:lvlText w:val="%8)"/>
      <w:lvlJc w:val="left"/>
      <w:pPr>
        <w:ind w:left="2880" w:hanging="360"/>
      </w:pPr>
      <w:rPr>
        <w:smallCaps w:val="0"/>
        <w:strike w:val="0"/>
        <w:shd w:fill="auto" w:val="clear"/>
        <w:vertAlign w:val="baseline"/>
      </w:rPr>
    </w:lvl>
    <w:lvl w:ilvl="8">
      <w:start w:val="1"/>
      <w:numFmt w:val="lowerRoman"/>
      <w:lvlText w:val="%9)"/>
      <w:lvlJc w:val="left"/>
      <w:pPr>
        <w:ind w:left="3240" w:hanging="360"/>
      </w:pPr>
      <w:rPr>
        <w:smallCaps w:val="0"/>
        <w:strike w:val="0"/>
        <w:shd w:fill="auto" w:val="clear"/>
        <w:vertAlign w:val="baseline"/>
      </w:rPr>
    </w:lvl>
  </w:abstractNum>
  <w:abstractNum w:abstractNumId="2">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lowerLetter"/>
      <w:lvlText w:val="%3)"/>
      <w:lvlJc w:val="left"/>
      <w:pPr>
        <w:ind w:left="1080" w:hanging="360"/>
      </w:pPr>
      <w:rPr>
        <w:smallCaps w:val="0"/>
        <w:strike w:val="0"/>
        <w:shd w:fill="auto" w:val="clear"/>
        <w:vertAlign w:val="baseline"/>
      </w:rPr>
    </w:lvl>
    <w:lvl w:ilvl="3">
      <w:start w:val="1"/>
      <w:numFmt w:val="lowerLetter"/>
      <w:lvlText w:val="%4)"/>
      <w:lvlJc w:val="left"/>
      <w:pPr>
        <w:ind w:left="1440" w:hanging="360"/>
      </w:pPr>
      <w:rPr>
        <w:smallCaps w:val="0"/>
        <w:strike w:val="0"/>
        <w:shd w:fill="auto" w:val="clear"/>
        <w:vertAlign w:val="baseline"/>
      </w:rPr>
    </w:lvl>
    <w:lvl w:ilvl="4">
      <w:start w:val="1"/>
      <w:numFmt w:val="lowerRoman"/>
      <w:lvlText w:val="%5)"/>
      <w:lvlJc w:val="left"/>
      <w:pPr>
        <w:ind w:left="1755" w:hanging="360"/>
      </w:pPr>
      <w:rPr>
        <w:smallCaps w:val="0"/>
        <w:strike w:val="0"/>
        <w:shd w:fill="auto" w:val="clear"/>
        <w:vertAlign w:val="baseline"/>
      </w:rPr>
    </w:lvl>
    <w:lvl w:ilvl="5">
      <w:start w:val="1"/>
      <w:numFmt w:val="lowerRoman"/>
      <w:lvlText w:val="%6)"/>
      <w:lvlJc w:val="left"/>
      <w:pPr>
        <w:ind w:left="2160" w:hanging="360"/>
      </w:pPr>
      <w:rPr>
        <w:smallCaps w:val="0"/>
        <w:strike w:val="0"/>
        <w:shd w:fill="auto" w:val="clear"/>
        <w:vertAlign w:val="baseline"/>
      </w:rPr>
    </w:lvl>
    <w:lvl w:ilvl="6">
      <w:start w:val="1"/>
      <w:numFmt w:val="lowerRoman"/>
      <w:lvlText w:val="%7)"/>
      <w:lvlJc w:val="left"/>
      <w:pPr>
        <w:ind w:left="2520" w:hanging="360"/>
      </w:pPr>
      <w:rPr>
        <w:smallCaps w:val="0"/>
        <w:strike w:val="0"/>
        <w:shd w:fill="auto" w:val="clear"/>
        <w:vertAlign w:val="baseline"/>
      </w:rPr>
    </w:lvl>
    <w:lvl w:ilvl="7">
      <w:start w:val="1"/>
      <w:numFmt w:val="lowerRoman"/>
      <w:lvlText w:val="%8)"/>
      <w:lvlJc w:val="left"/>
      <w:pPr>
        <w:ind w:left="2880" w:hanging="360"/>
      </w:pPr>
      <w:rPr>
        <w:smallCaps w:val="0"/>
        <w:strike w:val="0"/>
        <w:shd w:fill="auto" w:val="clear"/>
        <w:vertAlign w:val="baseline"/>
      </w:rPr>
    </w:lvl>
    <w:lvl w:ilvl="8">
      <w:start w:val="1"/>
      <w:numFmt w:val="lowerRoman"/>
      <w:lvlText w:val="%9)"/>
      <w:lvlJc w:val="left"/>
      <w:pPr>
        <w:ind w:left="3240" w:hanging="360"/>
      </w:pPr>
      <w:rPr>
        <w:smallCaps w:val="0"/>
        <w:strike w:val="0"/>
        <w:shd w:fill="auto" w:val="clear"/>
        <w:vertAlign w:val="baseline"/>
      </w:rPr>
    </w:lvl>
  </w:abstractNum>
  <w:abstractNum w:abstractNumId="3">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lowerLetter"/>
      <w:lvlText w:val="%3)"/>
      <w:lvlJc w:val="left"/>
      <w:pPr>
        <w:ind w:left="1080" w:hanging="360"/>
      </w:pPr>
      <w:rPr>
        <w:smallCaps w:val="0"/>
        <w:strike w:val="0"/>
        <w:shd w:fill="auto" w:val="clear"/>
        <w:vertAlign w:val="baseline"/>
      </w:rPr>
    </w:lvl>
    <w:lvl w:ilvl="3">
      <w:start w:val="1"/>
      <w:numFmt w:val="lowerLetter"/>
      <w:lvlText w:val="%4)"/>
      <w:lvlJc w:val="left"/>
      <w:pPr>
        <w:ind w:left="1440" w:hanging="360"/>
      </w:pPr>
      <w:rPr>
        <w:smallCaps w:val="0"/>
        <w:strike w:val="0"/>
        <w:shd w:fill="auto" w:val="clear"/>
        <w:vertAlign w:val="baseline"/>
      </w:rPr>
    </w:lvl>
    <w:lvl w:ilvl="4">
      <w:start w:val="1"/>
      <w:numFmt w:val="lowerRoman"/>
      <w:lvlText w:val="%5)"/>
      <w:lvlJc w:val="left"/>
      <w:pPr>
        <w:ind w:left="1755" w:hanging="360"/>
      </w:pPr>
      <w:rPr>
        <w:smallCaps w:val="0"/>
        <w:strike w:val="0"/>
        <w:shd w:fill="auto" w:val="clear"/>
        <w:vertAlign w:val="baseline"/>
      </w:rPr>
    </w:lvl>
    <w:lvl w:ilvl="5">
      <w:start w:val="1"/>
      <w:numFmt w:val="lowerRoman"/>
      <w:lvlText w:val="%6)"/>
      <w:lvlJc w:val="left"/>
      <w:pPr>
        <w:ind w:left="2160" w:hanging="360"/>
      </w:pPr>
      <w:rPr>
        <w:smallCaps w:val="0"/>
        <w:strike w:val="0"/>
        <w:shd w:fill="auto" w:val="clear"/>
        <w:vertAlign w:val="baseline"/>
      </w:rPr>
    </w:lvl>
    <w:lvl w:ilvl="6">
      <w:start w:val="1"/>
      <w:numFmt w:val="lowerRoman"/>
      <w:lvlText w:val="%7)"/>
      <w:lvlJc w:val="left"/>
      <w:pPr>
        <w:ind w:left="2520" w:hanging="360"/>
      </w:pPr>
      <w:rPr>
        <w:smallCaps w:val="0"/>
        <w:strike w:val="0"/>
        <w:shd w:fill="auto" w:val="clear"/>
        <w:vertAlign w:val="baseline"/>
      </w:rPr>
    </w:lvl>
    <w:lvl w:ilvl="7">
      <w:start w:val="1"/>
      <w:numFmt w:val="lowerRoman"/>
      <w:lvlText w:val="%8)"/>
      <w:lvlJc w:val="left"/>
      <w:pPr>
        <w:ind w:left="2880" w:hanging="360"/>
      </w:pPr>
      <w:rPr>
        <w:smallCaps w:val="0"/>
        <w:strike w:val="0"/>
        <w:shd w:fill="auto" w:val="clear"/>
        <w:vertAlign w:val="baseline"/>
      </w:rPr>
    </w:lvl>
    <w:lvl w:ilvl="8">
      <w:start w:val="1"/>
      <w:numFmt w:val="lowerRoman"/>
      <w:lvlText w:val="%9)"/>
      <w:lvlJc w:val="left"/>
      <w:pPr>
        <w:ind w:left="3240" w:hanging="360"/>
      </w:pPr>
      <w:rPr>
        <w:smallCaps w:val="0"/>
        <w:strike w:val="0"/>
        <w:shd w:fill="auto" w:val="clear"/>
        <w:vertAlign w:val="baseline"/>
      </w:rPr>
    </w:lvl>
  </w:abstractNum>
  <w:abstractNum w:abstractNumId="4">
    <w:lvl w:ilvl="0">
      <w:start w:val="1"/>
      <w:numFmt w:val="bullet"/>
      <w:lvlText w:val="•"/>
      <w:lvlJc w:val="left"/>
      <w:pPr>
        <w:ind w:left="180" w:hanging="180"/>
      </w:pPr>
      <w:rPr>
        <w:smallCaps w:val="0"/>
        <w:strike w:val="0"/>
        <w:shd w:fill="auto" w:val="clear"/>
        <w:vertAlign w:val="baseline"/>
      </w:rPr>
    </w:lvl>
    <w:lvl w:ilvl="1">
      <w:start w:val="1"/>
      <w:numFmt w:val="bullet"/>
      <w:lvlText w:val="•"/>
      <w:lvlJc w:val="left"/>
      <w:pPr>
        <w:ind w:left="360" w:hanging="180"/>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abstractNum w:abstractNumId="5">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lowerLetter"/>
      <w:lvlText w:val="%3)"/>
      <w:lvlJc w:val="left"/>
      <w:pPr>
        <w:ind w:left="1080" w:hanging="360"/>
      </w:pPr>
      <w:rPr>
        <w:smallCaps w:val="0"/>
        <w:strike w:val="0"/>
        <w:shd w:fill="auto" w:val="clear"/>
        <w:vertAlign w:val="baseline"/>
      </w:rPr>
    </w:lvl>
    <w:lvl w:ilvl="3">
      <w:start w:val="1"/>
      <w:numFmt w:val="lowerLetter"/>
      <w:lvlText w:val="%4)"/>
      <w:lvlJc w:val="left"/>
      <w:pPr>
        <w:ind w:left="1440" w:hanging="360"/>
      </w:pPr>
      <w:rPr>
        <w:smallCaps w:val="0"/>
        <w:strike w:val="0"/>
        <w:shd w:fill="auto" w:val="clear"/>
        <w:vertAlign w:val="baseline"/>
      </w:rPr>
    </w:lvl>
    <w:lvl w:ilvl="4">
      <w:start w:val="1"/>
      <w:numFmt w:val="lowerRoman"/>
      <w:lvlText w:val="%5)"/>
      <w:lvlJc w:val="left"/>
      <w:pPr>
        <w:ind w:left="1755" w:hanging="360"/>
      </w:pPr>
      <w:rPr>
        <w:smallCaps w:val="0"/>
        <w:strike w:val="0"/>
        <w:shd w:fill="auto" w:val="clear"/>
        <w:vertAlign w:val="baseline"/>
      </w:rPr>
    </w:lvl>
    <w:lvl w:ilvl="5">
      <w:start w:val="1"/>
      <w:numFmt w:val="lowerRoman"/>
      <w:lvlText w:val="%6)"/>
      <w:lvlJc w:val="left"/>
      <w:pPr>
        <w:ind w:left="2160" w:hanging="360"/>
      </w:pPr>
      <w:rPr>
        <w:smallCaps w:val="0"/>
        <w:strike w:val="0"/>
        <w:shd w:fill="auto" w:val="clear"/>
        <w:vertAlign w:val="baseline"/>
      </w:rPr>
    </w:lvl>
    <w:lvl w:ilvl="6">
      <w:start w:val="1"/>
      <w:numFmt w:val="lowerRoman"/>
      <w:lvlText w:val="%7)"/>
      <w:lvlJc w:val="left"/>
      <w:pPr>
        <w:ind w:left="2520" w:hanging="360"/>
      </w:pPr>
      <w:rPr>
        <w:smallCaps w:val="0"/>
        <w:strike w:val="0"/>
        <w:shd w:fill="auto" w:val="clear"/>
        <w:vertAlign w:val="baseline"/>
      </w:rPr>
    </w:lvl>
    <w:lvl w:ilvl="7">
      <w:start w:val="1"/>
      <w:numFmt w:val="lowerRoman"/>
      <w:lvlText w:val="%8)"/>
      <w:lvlJc w:val="left"/>
      <w:pPr>
        <w:ind w:left="2880" w:hanging="360"/>
      </w:pPr>
      <w:rPr>
        <w:smallCaps w:val="0"/>
        <w:strike w:val="0"/>
        <w:shd w:fill="auto" w:val="clear"/>
        <w:vertAlign w:val="baseline"/>
      </w:rPr>
    </w:lvl>
    <w:lvl w:ilvl="8">
      <w:start w:val="1"/>
      <w:numFmt w:val="lowerRoman"/>
      <w:lvlText w:val="%9)"/>
      <w:lvlJc w:val="left"/>
      <w:pPr>
        <w:ind w:left="3240" w:hanging="360"/>
      </w:pPr>
      <w:rPr>
        <w:smallCaps w:val="0"/>
        <w:strike w:val="0"/>
        <w:shd w:fill="auto" w:val="clear"/>
        <w:vertAlign w:val="baseline"/>
      </w:rPr>
    </w:lvl>
  </w:abstractNum>
  <w:abstractNum w:abstractNumId="6">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7"/>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jslrFMbtIiyTXiQPUfK7+vv5sw==">CgMxLjA4AHIhMUJBM1BTajhzWi1YN0pQNC1kaS1nSHRCNWZJaklONnhm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